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PRL Site Solutions Ltd</w:t>
      </w:r>
    </w:p>
    <w:p>
      <w:pPr>
        <w:spacing w:after="80"/>
        <w:jc w:val="center"/>
      </w:pPr>
      <w:r>
        <w:rPr>
          <w:b/>
          <w:bCs/>
          <w:color w:val="1F3864"/>
          <w:sz w:val="34"/>
          <w:szCs w:val="34"/>
        </w:rPr>
        <w:t xml:space="preserve">Gifts and Hospitality Policy</w:t>
      </w:r>
    </w:p>
    <w:p>
      <w:pPr>
        <w:spacing w:after="320"/>
        <w:jc w:val="center"/>
      </w:pPr>
      <w:r>
        <w:rPr>
          <w:color w:val="666666"/>
          <w:sz w:val="18"/>
          <w:szCs w:val="18"/>
        </w:rPr>
        <w:t xml:space="preserve">Ref: PRL-POL-GH-001  |  Version: 1.0  |  Issue Date: 19 May 2026  |  Review: May 2027</w:t>
      </w:r>
    </w:p>
    <w:p>
      <w:pPr>
        <w:pStyle w:val="Heading1"/>
        <w:spacing w:after="160" w:before="320"/>
      </w:pPr>
      <w:r>
        <w:t xml:space="preserve">1. Purpose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This policy sets out PRL Site Solutions Ltd's approach to the giving and receiving of gifts and hospitality by employees, directors, and associated persons. It supports the company's Anti-Bribery and Corruption Policy and ensures compliance with the Bribery Act 2010.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2. Scope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This policy applies to all employees, directors, contractors, and any person acting on behalf of PRL Site Solutions Ltd.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3. General Principles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Gifts and hospitality must be reasonable, proportionate, and transparent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They must serve a legitimate business purpose — building or maintaining a business relationship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They must never be offered or accepted as an inducement or reward for any business favour or decision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They must never cause embarrassment to the company or create a perception of impropriety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When in doubt, decline and report to the Director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4. Receiving Gifts</w:t>
      </w:r>
    </w:p>
    <w:p>
      <w:pPr>
        <w:pStyle w:val="Heading2"/>
        <w:spacing w:after="120" w:before="240"/>
      </w:pPr>
      <w:r>
        <w:t xml:space="preserve">4.1 Permitted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Gifts of a token or promotional nature (branded items, pens, calendars) with a value of less than £25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Occasional hospitality of a reasonable value — working lunches, site visits, industry events — where attendance is for a legitimate business purpose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Seasonal gifts (e.g. Christmas hampers) up to £50 in value</w:t>
      </w:r>
    </w:p>
    <w:p>
      <w:pPr>
        <w:spacing w:after="160"/>
      </w:pPr>
    </w:p>
    <w:p>
      <w:pPr>
        <w:pStyle w:val="Heading2"/>
        <w:spacing w:after="120" w:before="240"/>
      </w:pPr>
      <w:r>
        <w:t xml:space="preserve">4.2 Not Permitted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Cash gifts or cash equivalents (vouchers, gift cards) of any value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Gifts above £50 in value from a single supplier, client, or contractor in any 12-month period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Any gift offered or accepted in connection with a tender, contract award, or business decision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Gifts from anyone seeking to influence a regulatory, planning, or contractual outcome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Personal hospitality that goes beyond what is reasonable and proportionate (holidays, sporting events with significant monetary value, etc.)</w:t>
      </w:r>
    </w:p>
    <w:p>
      <w:pPr>
        <w:spacing w:after="160"/>
      </w:pPr>
    </w:p>
    <w:p>
      <w:pPr>
        <w:pStyle w:val="Heading2"/>
        <w:spacing w:after="120" w:before="240"/>
      </w:pPr>
      <w:r>
        <w:t xml:space="preserve">4.3 Process for Receiving a Gift Above £25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Inform the Director immediately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Record the gift in the Gifts and Hospitality Register within 5 working days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Director to confirm whether the gift may be retained, shared (e.g. placed in a communal area), or returned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5. Giving Gifts</w:t>
      </w:r>
    </w:p>
    <w:p>
      <w:pPr>
        <w:pStyle w:val="Heading2"/>
        <w:spacing w:after="120" w:before="240"/>
      </w:pPr>
      <w:r>
        <w:t xml:space="preserve">5.1 Permitted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Branded promotional materials (pens, notepads, bags) up to £25 per item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Working lunches and reasonable business entertainment in connection with a client or supplier relationship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Seasonal gifts to clients up to £50 per person, where these are clearly of a goodwill nature</w:t>
      </w:r>
    </w:p>
    <w:p>
      <w:pPr>
        <w:spacing w:after="160"/>
      </w:pPr>
    </w:p>
    <w:p>
      <w:pPr>
        <w:pStyle w:val="Heading2"/>
        <w:spacing w:after="120" w:before="240"/>
      </w:pPr>
      <w:r>
        <w:t xml:space="preserve">5.2 Not Permitted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Cash or cash equivalent gifts of any value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Gifts to public officials (council, HMRC, HSE, etc.) of any value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Gifts above £50 in value to any individual client, supplier, or contractor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Gifts offered in anticipation of or following a contract award or commercial decision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Gifts paid for by the company without Director approval</w:t>
      </w:r>
    </w:p>
    <w:p>
      <w:pPr>
        <w:spacing w:after="160"/>
      </w:pPr>
    </w:p>
    <w:p>
      <w:pPr>
        <w:pStyle w:val="Heading2"/>
        <w:spacing w:after="120" w:before="240"/>
      </w:pPr>
      <w:r>
        <w:t xml:space="preserve">5.3 Process for Giving a Gift Above £25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Obtain prior written approval from the Director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Record the gift in the Gifts and Hospitality Register before or immediately after it is given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6. Business Hospitality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Business hospitality (meals, events, entertainment) is acceptable where: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It is for a clear and legitimate business purpose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It is reasonable and proportionate to the nature of the business relationship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It is transparent — openly offered and not concealed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It is not in connection with a pending tender, contract decision, or regulatory matter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Hospitality with a value exceeding £50 per person must be recorded in the Gifts and Hospitality Register and, if given, requires Director approval.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7. Gifts and Hospitality Register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A Gifts and Hospitality Register is maintained by the Office Manager / Director. All gifts and hospitality received or given with a value above £25 must be recorded within 5 working days. The register is reviewed quarterly by the Director.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The register records: date, description, estimated value, given/received, who gave/received, business purpose, and outcome (retained/returned/approved).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8. Conflicts of Interest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Any situation where a gift or hospitality could create a conflict of interest — real or perceived — must be disclosed to the Director immediately. A conflict of interest arises where a personal benefit could influence, or be seen to influence, a professional decision.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9. Reporting Concerns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Any person who believes a gift or hospitality offered or received may constitute a bribe, or who is uncomfortable with a gift or hospitality situation, should report this immediately to: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Director — info@prlsitesolutions.co.uk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Anonymous reporting is available via the Whistleblowing Policy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10. Consequences of Breach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Breach of this policy may constitute a breach of the Bribery Act 2010 and will be treated as serious misconduct, which may result in disciplinary action up to and including dismissal.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11. Review</w:t>
      </w:r>
    </w:p>
    <w:p>
      <w:pPr>
        <w:spacing w:after="120"/>
      </w:pPr>
      <w:r>
        <w:rPr>
          <w:b w:val="false"/>
          <w:bCs w:val="false"/>
          <w:color w:val="000000"/>
          <w:sz w:val="22"/>
          <w:szCs w:val="22"/>
        </w:rPr>
        <w:t xml:space="preserve">This policy is reviewed annually. Next review: May 2027.</w:t>
      </w:r>
    </w:p>
    <w:p>
      <w:pPr>
        <w:spacing w:after="160"/>
      </w:pPr>
    </w:p>
    <w:p>
      <w:pPr>
        <w:pStyle w:val="Heading1"/>
        <w:spacing w:after="160" w:before="320"/>
      </w:pPr>
      <w:r>
        <w:t xml:space="preserve">12. Approval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5%"/>
            <w:shd w:fill="E8EEF7" w:color="auto" w:val="clear"/>
          </w:tcPr>
          <w:p>
            <w:r>
              <w:rPr>
                <w:b/>
                <w:bCs/>
                <w:sz w:val="20"/>
                <w:szCs w:val="20"/>
              </w:rPr>
              <w:t xml:space="preserve">Approved by</w:t>
            </w:r>
          </w:p>
        </w:tc>
        <w:tc>
          <w:tcPr>
            <w:tcW w:type="pct" w:w="65%"/>
          </w:tcPr>
          <w:p>
            <w:r>
              <w:rPr>
                <w:sz w:val="20"/>
                <w:szCs w:val="20"/>
              </w:rPr>
              <w:t xml:space="preserve">Director, PRL Site Solutions Ltd</w:t>
            </w:r>
          </w:p>
        </w:tc>
      </w:tr>
      <w:tr>
        <w:tc>
          <w:tcPr>
            <w:tcW w:type="pct" w:w="35%"/>
            <w:shd w:fill="E8EEF7" w:color="auto" w:val="clea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5%"/>
          </w:tcPr>
          <w:p>
            <w:r>
              <w:rPr>
                <w:sz w:val="20"/>
                <w:szCs w:val="20"/>
              </w:rPr>
              <w:t xml:space="preserve">19 May 2026</w:t>
            </w:r>
          </w:p>
        </w:tc>
      </w:tr>
      <w:tr>
        <w:tc>
          <w:tcPr>
            <w:tcW w:type="pct" w:w="35%"/>
            <w:shd w:fill="E8EEF7" w:color="auto" w:val="clear"/>
          </w:tcPr>
          <w:p>
            <w:r>
              <w:rPr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pct" w:w="65%"/>
          </w:tcPr>
          <w:p>
            <w:r>
              <w:rPr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pct" w:w="35%"/>
            <w:shd w:fill="E8EEF7" w:color="auto" w:val="clear"/>
          </w:tcPr>
          <w:p>
            <w:r>
              <w:rPr>
                <w:b/>
                <w:bCs/>
                <w:sz w:val="20"/>
                <w:szCs w:val="20"/>
              </w:rPr>
              <w:t xml:space="preserve">Document Ref</w:t>
            </w:r>
          </w:p>
        </w:tc>
        <w:tc>
          <w:tcPr>
            <w:tcW w:type="pct" w:w="65%"/>
          </w:tcPr>
          <w:p>
            <w:r>
              <w:rPr>
                <w:sz w:val="20"/>
                <w:szCs w:val="20"/>
              </w:rPr>
              <w:t xml:space="preserve">PRL-POL-GH-001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522603134EF4AB5E5B6629B05FD15" ma:contentTypeVersion="10" ma:contentTypeDescription="Create a new document." ma:contentTypeScope="" ma:versionID="cb348fb42288480ad94f95fa8008a7e2">
  <xsd:schema xmlns:xsd="http://www.w3.org/2001/XMLSchema" xmlns:xs="http://www.w3.org/2001/XMLSchema" xmlns:p="http://schemas.microsoft.com/office/2006/metadata/properties" xmlns:ns2="5190c8ef-fd01-4a24-94cb-44d8b5351ef2" xmlns:ns3="ef80684d-26ac-4832-8cc2-4e8fa2b1f60d" targetNamespace="http://schemas.microsoft.com/office/2006/metadata/properties" ma:root="true" ma:fieldsID="c55703f665b84784e0aaad774014676b" ns2:_="" ns3:_="">
    <xsd:import namespace="5190c8ef-fd01-4a24-94cb-44d8b5351ef2"/>
    <xsd:import namespace="ef80684d-26ac-4832-8cc2-4e8fa2b1f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0c8ef-fd01-4a24-94cb-44d8b5351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fcf2d4-3e83-46d5-91d1-d326282f8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0684d-26ac-4832-8cc2-4e8fa2b1f6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9acc11-6f3a-4001-b0b2-fc26f4e9b11c}" ma:internalName="TaxCatchAll" ma:showField="CatchAllData" ma:web="ef80684d-26ac-4832-8cc2-4e8fa2b1f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0c8ef-fd01-4a24-94cb-44d8b5351ef2">
      <Terms xmlns="http://schemas.microsoft.com/office/infopath/2007/PartnerControls"/>
    </lcf76f155ced4ddcb4097134ff3c332f>
    <TaxCatchAll xmlns="ef80684d-26ac-4832-8cc2-4e8fa2b1f60d" xsi:nil="true"/>
  </documentManagement>
</p:properties>
</file>

<file path=customXml/itemProps1.xml><?xml version="1.0" encoding="utf-8"?>
<ds:datastoreItem xmlns:ds="http://schemas.openxmlformats.org/officeDocument/2006/customXml" ds:itemID="{6B9C77D2-D381-436A-984C-D67D7E1954D9}"/>
</file>

<file path=customXml/itemProps2.xml><?xml version="1.0" encoding="utf-8"?>
<ds:datastoreItem xmlns:ds="http://schemas.openxmlformats.org/officeDocument/2006/customXml" ds:itemID="{86035E49-EB3C-4EF0-AC4D-A93A5F90D062}"/>
</file>

<file path=customXml/itemProps3.xml><?xml version="1.0" encoding="utf-8"?>
<ds:datastoreItem xmlns:ds="http://schemas.openxmlformats.org/officeDocument/2006/customXml" ds:itemID="{F05AF617-580B-4AC8-8A86-7DFEFC6473F7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2026-05-19T12:33:41Z</dcterms:created>
  <dcterms:modified xsi:type="dcterms:W3CDTF">2026-05-19T12:33:41Z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0x010100E62522603134EF4AB5E5B6629B05FD15</vt:lpwstr>
  </property>
</Properties>
</file>