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28"/>
          <w:szCs w:val="28"/>
        </w:rPr>
        <w:t xml:space="preserve">PRL Site Solutions Ltd</w:t>
      </w:r>
    </w:p>
    <w:p>
      <w:pPr>
        <w:spacing w:after="80"/>
        <w:jc w:val="center"/>
      </w:pPr>
      <w:r>
        <w:rPr>
          <w:b/>
          <w:bCs/>
          <w:color w:val="1F3864"/>
          <w:sz w:val="34"/>
          <w:szCs w:val="34"/>
        </w:rPr>
        <w:t xml:space="preserve">Anti-Bribery and Corruption Policy</w:t>
      </w:r>
    </w:p>
    <w:p>
      <w:pPr>
        <w:spacing w:after="320"/>
        <w:jc w:val="center"/>
      </w:pPr>
      <w:r>
        <w:rPr>
          <w:color w:val="666666"/>
          <w:sz w:val="18"/>
          <w:szCs w:val="18"/>
        </w:rPr>
        <w:t xml:space="preserve">Ref: PRL-POL-ABC-001  |  Version: 1.0  |  Issue Date: 19 May 2026  |  Review: May 2027</w:t>
      </w:r>
    </w:p>
    <w:p>
      <w:pPr>
        <w:pStyle w:val="Heading1"/>
        <w:spacing w:after="160" w:before="320"/>
      </w:pPr>
      <w:r>
        <w:t xml:space="preserve">1. Purpose and Commitment</w:t>
      </w:r>
    </w:p>
    <w:p>
      <w:pPr>
        <w:spacing w:after="120"/>
      </w:pPr>
      <w:r>
        <w:rPr>
          <w:b w:val="false"/>
          <w:bCs w:val="false"/>
          <w:color w:val="000000"/>
          <w:sz w:val="22"/>
          <w:szCs w:val="22"/>
        </w:rPr>
        <w:t xml:space="preserve">PRL Site Solutions Ltd has a zero-tolerance approach to bribery and corruption in all its forms. This policy sets out the company's responsibilities and the responsibilities of those working for us to uphold the requirements of the Bribery Act 2010.</w:t>
      </w:r>
    </w:p>
    <w:p>
      <w:pPr>
        <w:spacing w:after="120"/>
      </w:pPr>
      <w:r>
        <w:rPr>
          <w:b w:val="false"/>
          <w:bCs w:val="false"/>
          <w:color w:val="000000"/>
          <w:sz w:val="22"/>
          <w:szCs w:val="22"/>
        </w:rPr>
        <w:t xml:space="preserve">We are committed to conducting all business honestly, ethically, and with integrity. We will not engage in bribery or corruption and will not tolerate it being undertaken on our behalf.</w:t>
      </w:r>
    </w:p>
    <w:p>
      <w:pPr>
        <w:spacing w:after="160"/>
      </w:pPr>
    </w:p>
    <w:p>
      <w:pPr>
        <w:pStyle w:val="Heading1"/>
        <w:spacing w:after="160" w:before="320"/>
      </w:pPr>
      <w:r>
        <w:t xml:space="preserve">2. Scope</w:t>
      </w:r>
    </w:p>
    <w:p>
      <w:pPr>
        <w:spacing w:after="120"/>
      </w:pPr>
      <w:r>
        <w:rPr>
          <w:b w:val="false"/>
          <w:bCs w:val="false"/>
          <w:color w:val="000000"/>
          <w:sz w:val="22"/>
          <w:szCs w:val="22"/>
        </w:rPr>
        <w:t xml:space="preserve">This policy applies to:</w:t>
      </w:r>
    </w:p>
    <w:p>
      <w:pPr>
        <w:pStyle w:val="ListParagraph"/>
        <w:numPr>
          <w:ilvl w:val="0"/>
          <w:numId w:val="1"/>
        </w:numPr>
        <w:spacing w:after="80"/>
      </w:pPr>
      <w:r>
        <w:rPr>
          <w:sz w:val="22"/>
          <w:szCs w:val="22"/>
        </w:rPr>
        <w:t xml:space="preserve">All employees, permanent and temporary</w:t>
      </w:r>
    </w:p>
    <w:p>
      <w:pPr>
        <w:pStyle w:val="ListParagraph"/>
        <w:numPr>
          <w:ilvl w:val="0"/>
          <w:numId w:val="1"/>
        </w:numPr>
        <w:spacing w:after="80"/>
      </w:pPr>
      <w:r>
        <w:rPr>
          <w:sz w:val="22"/>
          <w:szCs w:val="22"/>
        </w:rPr>
        <w:t xml:space="preserve">Directors and company officers</w:t>
      </w:r>
    </w:p>
    <w:p>
      <w:pPr>
        <w:pStyle w:val="ListParagraph"/>
        <w:numPr>
          <w:ilvl w:val="0"/>
          <w:numId w:val="1"/>
        </w:numPr>
        <w:spacing w:after="80"/>
      </w:pPr>
      <w:r>
        <w:rPr>
          <w:sz w:val="22"/>
          <w:szCs w:val="22"/>
        </w:rPr>
        <w:t xml:space="preserve">Contractors and agency workers engaged by the company</w:t>
      </w:r>
    </w:p>
    <w:p>
      <w:pPr>
        <w:pStyle w:val="ListParagraph"/>
        <w:numPr>
          <w:ilvl w:val="0"/>
          <w:numId w:val="1"/>
        </w:numPr>
        <w:spacing w:after="80"/>
      </w:pPr>
      <w:r>
        <w:rPr>
          <w:sz w:val="22"/>
          <w:szCs w:val="22"/>
        </w:rPr>
        <w:t xml:space="preserve">All associated persons acting on behalf of PRL Site Solutions Ltd, including agents, intermediaries, and supply chain partners</w:t>
      </w:r>
    </w:p>
    <w:p>
      <w:pPr>
        <w:spacing w:after="120"/>
      </w:pPr>
      <w:r>
        <w:rPr>
          <w:b w:val="false"/>
          <w:bCs w:val="false"/>
          <w:color w:val="000000"/>
          <w:sz w:val="22"/>
          <w:szCs w:val="22"/>
        </w:rPr>
        <w:t xml:space="preserve">This policy applies to conduct in all countries and jurisdictions in which the company operates or has business relationships.</w:t>
      </w:r>
    </w:p>
    <w:p>
      <w:pPr>
        <w:spacing w:after="160"/>
      </w:pPr>
    </w:p>
    <w:p>
      <w:pPr>
        <w:pStyle w:val="Heading1"/>
        <w:spacing w:after="160" w:before="320"/>
      </w:pPr>
      <w:r>
        <w:t xml:space="preserve">3. What is Bribery?</w:t>
      </w:r>
    </w:p>
    <w:p>
      <w:pPr>
        <w:spacing w:after="120"/>
      </w:pPr>
      <w:r>
        <w:rPr>
          <w:b w:val="false"/>
          <w:bCs w:val="false"/>
          <w:color w:val="000000"/>
          <w:sz w:val="22"/>
          <w:szCs w:val="22"/>
        </w:rPr>
        <w:t xml:space="preserve">Bribery is the offering, promising, giving, accepting, or soliciting of any financial or other advantage to induce or reward someone to perform a function improperly. This includes:</w:t>
      </w:r>
    </w:p>
    <w:p>
      <w:pPr>
        <w:pStyle w:val="ListParagraph"/>
        <w:numPr>
          <w:ilvl w:val="0"/>
          <w:numId w:val="1"/>
        </w:numPr>
        <w:spacing w:after="80"/>
      </w:pPr>
      <w:r>
        <w:rPr>
          <w:sz w:val="22"/>
          <w:szCs w:val="22"/>
        </w:rPr>
        <w:t xml:space="preserve">Offering, promising, or giving a bribe — even if the offer is not accepted</w:t>
      </w:r>
    </w:p>
    <w:p>
      <w:pPr>
        <w:pStyle w:val="ListParagraph"/>
        <w:numPr>
          <w:ilvl w:val="0"/>
          <w:numId w:val="1"/>
        </w:numPr>
        <w:spacing w:after="80"/>
      </w:pPr>
      <w:r>
        <w:rPr>
          <w:sz w:val="22"/>
          <w:szCs w:val="22"/>
        </w:rPr>
        <w:t xml:space="preserve">Requesting or accepting a bribe</w:t>
      </w:r>
    </w:p>
    <w:p>
      <w:pPr>
        <w:pStyle w:val="ListParagraph"/>
        <w:numPr>
          <w:ilvl w:val="0"/>
          <w:numId w:val="1"/>
        </w:numPr>
        <w:spacing w:after="80"/>
      </w:pPr>
      <w:r>
        <w:rPr>
          <w:sz w:val="22"/>
          <w:szCs w:val="22"/>
        </w:rPr>
        <w:t xml:space="preserve">Bribing a foreign public official</w:t>
      </w:r>
    </w:p>
    <w:p>
      <w:pPr>
        <w:pStyle w:val="ListParagraph"/>
        <w:numPr>
          <w:ilvl w:val="0"/>
          <w:numId w:val="1"/>
        </w:numPr>
        <w:spacing w:after="80"/>
      </w:pPr>
      <w:r>
        <w:rPr>
          <w:sz w:val="22"/>
          <w:szCs w:val="22"/>
        </w:rPr>
        <w:t xml:space="preserve">Failing to prevent an associated person from bribing on the company's behalf</w:t>
      </w:r>
    </w:p>
    <w:p>
      <w:pPr>
        <w:spacing w:after="120"/>
      </w:pPr>
      <w:r>
        <w:rPr>
          <w:b w:val="false"/>
          <w:bCs w:val="false"/>
          <w:color w:val="000000"/>
          <w:sz w:val="22"/>
          <w:szCs w:val="22"/>
        </w:rPr>
        <w:t xml:space="preserve">Corruption is the abuse of entrusted power for private gain. Both bribery and corruption are criminal offences under the Bribery Act 2010 and carry penalties of up to 10 years' imprisonment and unlimited fines for individuals, and unlimited fines for organisations.</w:t>
      </w:r>
    </w:p>
    <w:p>
      <w:pPr>
        <w:spacing w:after="160"/>
      </w:pPr>
    </w:p>
    <w:p>
      <w:pPr>
        <w:pStyle w:val="Heading1"/>
        <w:spacing w:after="160" w:before="320"/>
      </w:pPr>
      <w:r>
        <w:t xml:space="preserve">4. Prohibited Conduct</w:t>
      </w:r>
    </w:p>
    <w:p>
      <w:pPr>
        <w:spacing w:after="120"/>
      </w:pPr>
      <w:r>
        <w:rPr>
          <w:b w:val="false"/>
          <w:bCs w:val="false"/>
          <w:color w:val="000000"/>
          <w:sz w:val="22"/>
          <w:szCs w:val="22"/>
        </w:rPr>
        <w:t xml:space="preserve">The following are strictly prohibited:</w:t>
      </w:r>
    </w:p>
    <w:p>
      <w:pPr>
        <w:pStyle w:val="ListParagraph"/>
        <w:numPr>
          <w:ilvl w:val="0"/>
          <w:numId w:val="1"/>
        </w:numPr>
        <w:spacing w:after="80"/>
      </w:pPr>
      <w:r>
        <w:rPr>
          <w:sz w:val="22"/>
          <w:szCs w:val="22"/>
        </w:rPr>
        <w:t xml:space="preserve">Offering or giving any financial or non-financial advantage to any person to secure business, a contract, a regulatory approval, or any other benefit for the company</w:t>
      </w:r>
    </w:p>
    <w:p>
      <w:pPr>
        <w:pStyle w:val="ListParagraph"/>
        <w:numPr>
          <w:ilvl w:val="0"/>
          <w:numId w:val="1"/>
        </w:numPr>
        <w:spacing w:after="80"/>
      </w:pPr>
      <w:r>
        <w:rPr>
          <w:sz w:val="22"/>
          <w:szCs w:val="22"/>
        </w:rPr>
        <w:t xml:space="preserve">Requesting, agreeing to receive, or accepting any advantage — financial or otherwise — as an inducement or reward for acting improperly</w:t>
      </w:r>
    </w:p>
    <w:p>
      <w:pPr>
        <w:pStyle w:val="ListParagraph"/>
        <w:numPr>
          <w:ilvl w:val="0"/>
          <w:numId w:val="1"/>
        </w:numPr>
        <w:spacing w:after="80"/>
      </w:pPr>
      <w:r>
        <w:rPr>
          <w:sz w:val="22"/>
          <w:szCs w:val="22"/>
        </w:rPr>
        <w:t xml:space="preserve">Making or accepting facilitation payments — unofficial payments to public officials to speed up routine processes</w:t>
      </w:r>
    </w:p>
    <w:p>
      <w:pPr>
        <w:pStyle w:val="ListParagraph"/>
        <w:numPr>
          <w:ilvl w:val="0"/>
          <w:numId w:val="1"/>
        </w:numPr>
        <w:spacing w:after="80"/>
      </w:pPr>
      <w:r>
        <w:rPr>
          <w:sz w:val="22"/>
          <w:szCs w:val="22"/>
        </w:rPr>
        <w:t xml:space="preserve">Using a third party (agent, consultant, introducer) to offer or pay a bribe on the company's behalf</w:t>
      </w:r>
    </w:p>
    <w:p>
      <w:pPr>
        <w:pStyle w:val="ListParagraph"/>
        <w:numPr>
          <w:ilvl w:val="0"/>
          <w:numId w:val="1"/>
        </w:numPr>
        <w:spacing w:after="80"/>
      </w:pPr>
      <w:r>
        <w:rPr>
          <w:sz w:val="22"/>
          <w:szCs w:val="22"/>
        </w:rPr>
        <w:t xml:space="preserve">Engaging in conduct that would constitute bribery of a foreign public official</w:t>
      </w:r>
    </w:p>
    <w:p>
      <w:pPr>
        <w:spacing w:after="160"/>
      </w:pPr>
    </w:p>
    <w:p>
      <w:pPr>
        <w:pStyle w:val="Heading1"/>
        <w:spacing w:after="160" w:before="320"/>
      </w:pPr>
      <w:r>
        <w:t xml:space="preserve">5. Gifts, Hospitality, and Facilitation Payments</w:t>
      </w:r>
    </w:p>
    <w:p>
      <w:pPr>
        <w:spacing w:after="120"/>
      </w:pPr>
      <w:r>
        <w:rPr>
          <w:b w:val="false"/>
          <w:bCs w:val="false"/>
          <w:color w:val="000000"/>
          <w:sz w:val="22"/>
          <w:szCs w:val="22"/>
        </w:rPr>
        <w:t xml:space="preserve">Gifts and hospitality must be managed in accordance with the company's separate Gifts and Hospitality Policy. In summary:</w:t>
      </w:r>
    </w:p>
    <w:p>
      <w:pPr>
        <w:pStyle w:val="ListParagraph"/>
        <w:numPr>
          <w:ilvl w:val="0"/>
          <w:numId w:val="1"/>
        </w:numPr>
        <w:spacing w:after="80"/>
      </w:pPr>
      <w:r>
        <w:rPr>
          <w:sz w:val="22"/>
          <w:szCs w:val="22"/>
        </w:rPr>
        <w:t xml:space="preserve">Reasonable, proportionate, and transparent gifts and hospitality are permitted where they are for a legitimate business purpose</w:t>
      </w:r>
    </w:p>
    <w:p>
      <w:pPr>
        <w:pStyle w:val="ListParagraph"/>
        <w:numPr>
          <w:ilvl w:val="0"/>
          <w:numId w:val="1"/>
        </w:numPr>
        <w:spacing w:after="80"/>
      </w:pPr>
      <w:r>
        <w:rPr>
          <w:sz w:val="22"/>
          <w:szCs w:val="22"/>
        </w:rPr>
        <w:t xml:space="preserve">All gifts and hospitality received or given above £25 in value must be recorded in the Gifts and Hospitality Register</w:t>
      </w:r>
    </w:p>
    <w:p>
      <w:pPr>
        <w:pStyle w:val="ListParagraph"/>
        <w:numPr>
          <w:ilvl w:val="0"/>
          <w:numId w:val="1"/>
        </w:numPr>
        <w:spacing w:after="80"/>
      </w:pPr>
      <w:r>
        <w:rPr>
          <w:sz w:val="22"/>
          <w:szCs w:val="22"/>
        </w:rPr>
        <w:t xml:space="preserve">No gift or hospitality should be offered or accepted where it could influence or appear to influence a business decision</w:t>
      </w:r>
    </w:p>
    <w:p>
      <w:pPr>
        <w:pStyle w:val="ListParagraph"/>
        <w:numPr>
          <w:ilvl w:val="0"/>
          <w:numId w:val="1"/>
        </w:numPr>
        <w:spacing w:after="80"/>
      </w:pPr>
      <w:r>
        <w:rPr>
          <w:sz w:val="22"/>
          <w:szCs w:val="22"/>
        </w:rPr>
        <w:t xml:space="preserve">Cash gifts are never acceptable</w:t>
      </w:r>
    </w:p>
    <w:p>
      <w:pPr>
        <w:pStyle w:val="ListParagraph"/>
        <w:numPr>
          <w:ilvl w:val="0"/>
          <w:numId w:val="1"/>
        </w:numPr>
        <w:spacing w:after="80"/>
      </w:pPr>
      <w:r>
        <w:rPr>
          <w:sz w:val="22"/>
          <w:szCs w:val="22"/>
        </w:rPr>
        <w:t xml:space="preserve">Facilitation payments are never acceptable, regardless of local custom or practice</w:t>
      </w:r>
    </w:p>
    <w:p>
      <w:pPr>
        <w:spacing w:after="160"/>
      </w:pPr>
    </w:p>
    <w:p>
      <w:pPr>
        <w:pStyle w:val="Heading1"/>
        <w:spacing w:after="160" w:before="320"/>
      </w:pPr>
      <w:r>
        <w:t xml:space="preserve">6. Due Diligence on Third Parties</w:t>
      </w:r>
    </w:p>
    <w:p>
      <w:pPr>
        <w:spacing w:after="120"/>
      </w:pPr>
      <w:r>
        <w:rPr>
          <w:b w:val="false"/>
          <w:bCs w:val="false"/>
          <w:color w:val="000000"/>
          <w:sz w:val="22"/>
          <w:szCs w:val="22"/>
        </w:rPr>
        <w:t xml:space="preserve">PRL Site Solutions Ltd will conduct appropriate due diligence on third parties who act on its behalf, including:</w:t>
      </w:r>
    </w:p>
    <w:p>
      <w:pPr>
        <w:pStyle w:val="ListParagraph"/>
        <w:numPr>
          <w:ilvl w:val="0"/>
          <w:numId w:val="1"/>
        </w:numPr>
        <w:spacing w:after="80"/>
      </w:pPr>
      <w:r>
        <w:rPr>
          <w:sz w:val="22"/>
          <w:szCs w:val="22"/>
        </w:rPr>
        <w:t xml:space="preserve">Labour providers, subcontractors, and supply chain partners</w:t>
      </w:r>
    </w:p>
    <w:p>
      <w:pPr>
        <w:pStyle w:val="ListParagraph"/>
        <w:numPr>
          <w:ilvl w:val="0"/>
          <w:numId w:val="1"/>
        </w:numPr>
        <w:spacing w:after="80"/>
      </w:pPr>
      <w:r>
        <w:rPr>
          <w:sz w:val="22"/>
          <w:szCs w:val="22"/>
        </w:rPr>
        <w:t xml:space="preserve">Agents and introducers</w:t>
      </w:r>
    </w:p>
    <w:p>
      <w:pPr>
        <w:pStyle w:val="ListParagraph"/>
        <w:numPr>
          <w:ilvl w:val="0"/>
          <w:numId w:val="1"/>
        </w:numPr>
        <w:spacing w:after="80"/>
      </w:pPr>
      <w:r>
        <w:rPr>
          <w:sz w:val="22"/>
          <w:szCs w:val="22"/>
        </w:rPr>
        <w:t xml:space="preserve">Any third party representing the company in dealings with clients or public bodies</w:t>
      </w:r>
    </w:p>
    <w:p>
      <w:pPr>
        <w:spacing w:after="120"/>
      </w:pPr>
      <w:r>
        <w:rPr>
          <w:b w:val="false"/>
          <w:bCs w:val="false"/>
          <w:color w:val="000000"/>
          <w:sz w:val="22"/>
          <w:szCs w:val="22"/>
        </w:rPr>
        <w:t xml:space="preserve">Due diligence includes obtaining confirmation that third parties have anti-bribery policies in place, and including anti-bribery warranties in contracts with key suppliers and partners.</w:t>
      </w:r>
    </w:p>
    <w:p>
      <w:pPr>
        <w:spacing w:after="160"/>
      </w:pPr>
    </w:p>
    <w:p>
      <w:pPr>
        <w:pStyle w:val="Heading1"/>
        <w:spacing w:after="160" w:before="320"/>
      </w:pPr>
      <w:r>
        <w:t xml:space="preserve">7. Responsibilities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tblGrid>
      <w:tr>
        <w:tc>
          <w:tcPr>
            <w:tcW w:type="pct" w:w="35%"/>
            <w:shd w:fill="E8EEF7" w:color="auto" w:val="clear"/>
          </w:tcPr>
          <w:p>
            <w:r>
              <w:rPr>
                <w:b/>
                <w:bCs/>
                <w:sz w:val="20"/>
                <w:szCs w:val="20"/>
              </w:rPr>
              <w:t xml:space="preserve">Director</w:t>
            </w:r>
          </w:p>
        </w:tc>
        <w:tc>
          <w:tcPr>
            <w:tcW w:type="pct" w:w="65%"/>
          </w:tcPr>
          <w:p>
            <w:r>
              <w:rPr>
                <w:sz w:val="20"/>
                <w:szCs w:val="20"/>
              </w:rPr>
              <w:t xml:space="preserve">Overall accountability for anti-bribery compliance; approval of any unusual payments or arrangements; recipient of reported concerns</w:t>
            </w:r>
          </w:p>
        </w:tc>
      </w:tr>
      <w:tr>
        <w:tc>
          <w:tcPr>
            <w:tcW w:type="pct" w:w="35%"/>
            <w:shd w:fill="E8EEF7" w:color="auto" w:val="clear"/>
          </w:tcPr>
          <w:p>
            <w:r>
              <w:rPr>
                <w:b/>
                <w:bCs/>
                <w:sz w:val="20"/>
                <w:szCs w:val="20"/>
              </w:rPr>
              <w:t xml:space="preserve">All Staff</w:t>
            </w:r>
          </w:p>
        </w:tc>
        <w:tc>
          <w:tcPr>
            <w:tcW w:type="pct" w:w="65%"/>
          </w:tcPr>
          <w:p>
            <w:r>
              <w:rPr>
                <w:sz w:val="20"/>
                <w:szCs w:val="20"/>
              </w:rPr>
              <w:t xml:space="preserve">Compliance with this policy; immediate reporting of any suspicion of bribery or corruption</w:t>
            </w:r>
          </w:p>
        </w:tc>
      </w:tr>
      <w:tr>
        <w:tc>
          <w:tcPr>
            <w:tcW w:type="pct" w:w="35%"/>
            <w:shd w:fill="E8EEF7" w:color="auto" w:val="clear"/>
          </w:tcPr>
          <w:p>
            <w:r>
              <w:rPr>
                <w:b/>
                <w:bCs/>
                <w:sz w:val="20"/>
                <w:szCs w:val="20"/>
              </w:rPr>
              <w:t xml:space="preserve">Office Manager / HR</w:t>
            </w:r>
          </w:p>
        </w:tc>
        <w:tc>
          <w:tcPr>
            <w:tcW w:type="pct" w:w="65%"/>
          </w:tcPr>
          <w:p>
            <w:r>
              <w:rPr>
                <w:sz w:val="20"/>
                <w:szCs w:val="20"/>
              </w:rPr>
              <w:t xml:space="preserve">Maintenance of the Gifts and Hospitality Register; delivery of training</w:t>
            </w:r>
          </w:p>
        </w:tc>
      </w:tr>
      <w:tr>
        <w:tc>
          <w:tcPr>
            <w:tcW w:type="pct" w:w="35%"/>
            <w:shd w:fill="E8EEF7" w:color="auto" w:val="clear"/>
          </w:tcPr>
          <w:p>
            <w:r>
              <w:rPr>
                <w:b/>
                <w:bCs/>
                <w:sz w:val="20"/>
                <w:szCs w:val="20"/>
              </w:rPr>
              <w:t xml:space="preserve">Third Parties</w:t>
            </w:r>
          </w:p>
        </w:tc>
        <w:tc>
          <w:tcPr>
            <w:tcW w:type="pct" w:w="65%"/>
          </w:tcPr>
          <w:p>
            <w:r>
              <w:rPr>
                <w:sz w:val="20"/>
                <w:szCs w:val="20"/>
              </w:rPr>
              <w:t xml:space="preserve">Compliance with this policy as a condition of engagement</w:t>
            </w:r>
          </w:p>
        </w:tc>
      </w:tr>
    </w:tbl>
    <w:p>
      <w:pPr>
        <w:spacing w:after="160"/>
      </w:pPr>
    </w:p>
    <w:p>
      <w:pPr>
        <w:pStyle w:val="Heading1"/>
        <w:spacing w:after="160" w:before="320"/>
      </w:pPr>
      <w:r>
        <w:t xml:space="preserve">8. Reporting Concerns</w:t>
      </w:r>
    </w:p>
    <w:p>
      <w:pPr>
        <w:spacing w:after="120"/>
      </w:pPr>
      <w:r>
        <w:rPr>
          <w:b w:val="false"/>
          <w:bCs w:val="false"/>
          <w:color w:val="000000"/>
          <w:sz w:val="22"/>
          <w:szCs w:val="22"/>
        </w:rPr>
        <w:t xml:space="preserve">Any person who suspects bribery or corruption, or who is asked to pay or receive a bribe, must report this immediately to:</w:t>
      </w:r>
    </w:p>
    <w:p>
      <w:pPr>
        <w:pStyle w:val="ListParagraph"/>
        <w:numPr>
          <w:ilvl w:val="0"/>
          <w:numId w:val="1"/>
        </w:numPr>
        <w:spacing w:after="80"/>
      </w:pPr>
      <w:r>
        <w:rPr>
          <w:sz w:val="22"/>
          <w:szCs w:val="22"/>
        </w:rPr>
        <w:t xml:space="preserve">Director — PRL Site Solutions Ltd: info@prlsitesolutions.co.uk</w:t>
      </w:r>
    </w:p>
    <w:p>
      <w:pPr>
        <w:pStyle w:val="ListParagraph"/>
        <w:numPr>
          <w:ilvl w:val="0"/>
          <w:numId w:val="1"/>
        </w:numPr>
        <w:spacing w:after="80"/>
      </w:pPr>
      <w:r>
        <w:rPr>
          <w:sz w:val="22"/>
          <w:szCs w:val="22"/>
        </w:rPr>
        <w:t xml:space="preserve">Alternatively, reports can be made via the Whistleblowing Policy on an anonymous basis</w:t>
      </w:r>
    </w:p>
    <w:p>
      <w:pPr>
        <w:spacing w:after="120"/>
      </w:pPr>
      <w:r>
        <w:rPr>
          <w:b w:val="false"/>
          <w:bCs w:val="false"/>
          <w:color w:val="000000"/>
          <w:sz w:val="22"/>
          <w:szCs w:val="22"/>
        </w:rPr>
        <w:t xml:space="preserve">Reports will be investigated promptly and confidentially. No one who reports a genuine concern in good faith will suffer any detriment, even if the concern proves unfounded.</w:t>
      </w:r>
    </w:p>
    <w:p>
      <w:pPr>
        <w:spacing w:after="160"/>
      </w:pPr>
    </w:p>
    <w:p>
      <w:pPr>
        <w:pStyle w:val="Heading1"/>
        <w:spacing w:after="160" w:before="320"/>
      </w:pPr>
      <w:r>
        <w:t xml:space="preserve">9. Consequences of Breach</w:t>
      </w:r>
    </w:p>
    <w:p>
      <w:pPr>
        <w:spacing w:after="120"/>
      </w:pPr>
      <w:r>
        <w:rPr>
          <w:b w:val="false"/>
          <w:bCs w:val="false"/>
          <w:color w:val="000000"/>
          <w:sz w:val="22"/>
          <w:szCs w:val="22"/>
        </w:rPr>
        <w:t xml:space="preserve">Any employee found to have breached this policy will face disciplinary action up to and including dismissal. Any contractor or associated person found to have engaged in bribery or corruption will have their contract terminated immediately. The company will also consider whether to refer the matter to the relevant authorities.</w:t>
      </w:r>
    </w:p>
    <w:p>
      <w:pPr>
        <w:spacing w:after="160"/>
      </w:pPr>
    </w:p>
    <w:p>
      <w:pPr>
        <w:pStyle w:val="Heading1"/>
        <w:spacing w:after="160" w:before="320"/>
      </w:pPr>
      <w:r>
        <w:t xml:space="preserve">10. Training</w:t>
      </w:r>
    </w:p>
    <w:p>
      <w:pPr>
        <w:spacing w:after="120"/>
      </w:pPr>
      <w:r>
        <w:rPr>
          <w:b w:val="false"/>
          <w:bCs w:val="false"/>
          <w:color w:val="000000"/>
          <w:sz w:val="22"/>
          <w:szCs w:val="22"/>
        </w:rPr>
        <w:t xml:space="preserve">All staff receive training on the Bribery Act 2010 and this policy at induction. Annual refresher training is provided. Training records are maintained by HR/Office Manager.</w:t>
      </w:r>
    </w:p>
    <w:p>
      <w:pPr>
        <w:spacing w:after="160"/>
      </w:pPr>
    </w:p>
    <w:p>
      <w:pPr>
        <w:pStyle w:val="Heading1"/>
        <w:spacing w:after="160" w:before="320"/>
      </w:pPr>
      <w:r>
        <w:t xml:space="preserve">11. Review</w:t>
      </w:r>
    </w:p>
    <w:p>
      <w:pPr>
        <w:spacing w:after="120"/>
      </w:pPr>
      <w:r>
        <w:rPr>
          <w:b w:val="false"/>
          <w:bCs w:val="false"/>
          <w:color w:val="000000"/>
          <w:sz w:val="22"/>
          <w:szCs w:val="22"/>
        </w:rPr>
        <w:t xml:space="preserve">This policy is reviewed annually or following any change in legislation or significant incident. Next review: May 2027.</w:t>
      </w:r>
    </w:p>
    <w:p>
      <w:pPr>
        <w:spacing w:after="160"/>
      </w:pPr>
    </w:p>
    <w:p>
      <w:pPr>
        <w:pStyle w:val="Heading1"/>
        <w:spacing w:after="160" w:before="320"/>
      </w:pPr>
      <w:r>
        <w:t xml:space="preserve">12. Approval</w:t>
      </w: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tblGrid>
      <w:tr>
        <w:tc>
          <w:tcPr>
            <w:tcW w:type="pct" w:w="35%"/>
            <w:shd w:fill="E8EEF7" w:color="auto" w:val="clear"/>
          </w:tcPr>
          <w:p>
            <w:r>
              <w:rPr>
                <w:b/>
                <w:bCs/>
                <w:sz w:val="20"/>
                <w:szCs w:val="20"/>
              </w:rPr>
              <w:t xml:space="preserve">Approved by</w:t>
            </w:r>
          </w:p>
        </w:tc>
        <w:tc>
          <w:tcPr>
            <w:tcW w:type="pct" w:w="65%"/>
          </w:tcPr>
          <w:p>
            <w:r>
              <w:rPr>
                <w:sz w:val="20"/>
                <w:szCs w:val="20"/>
              </w:rPr>
              <w:t xml:space="preserve">Director, PRL Site Solutions Ltd</w:t>
            </w:r>
          </w:p>
        </w:tc>
      </w:tr>
      <w:tr>
        <w:tc>
          <w:tcPr>
            <w:tcW w:type="pct" w:w="35%"/>
            <w:shd w:fill="E8EEF7" w:color="auto" w:val="clear"/>
          </w:tcPr>
          <w:p>
            <w:r>
              <w:rPr>
                <w:b/>
                <w:bCs/>
                <w:sz w:val="20"/>
                <w:szCs w:val="20"/>
              </w:rPr>
              <w:t xml:space="preserve">Date</w:t>
            </w:r>
          </w:p>
        </w:tc>
        <w:tc>
          <w:tcPr>
            <w:tcW w:type="pct" w:w="65%"/>
          </w:tcPr>
          <w:p>
            <w:r>
              <w:rPr>
                <w:sz w:val="20"/>
                <w:szCs w:val="20"/>
              </w:rPr>
              <w:t xml:space="preserve">19 May 2026</w:t>
            </w:r>
          </w:p>
        </w:tc>
      </w:tr>
      <w:tr>
        <w:tc>
          <w:tcPr>
            <w:tcW w:type="pct" w:w="35%"/>
            <w:shd w:fill="E8EEF7" w:color="auto" w:val="clear"/>
          </w:tcPr>
          <w:p>
            <w:r>
              <w:rPr>
                <w:b/>
                <w:bCs/>
                <w:sz w:val="20"/>
                <w:szCs w:val="20"/>
              </w:rPr>
              <w:t xml:space="preserve">Version</w:t>
            </w:r>
          </w:p>
        </w:tc>
        <w:tc>
          <w:tcPr>
            <w:tcW w:type="pct" w:w="65%"/>
          </w:tcPr>
          <w:p>
            <w:r>
              <w:rPr>
                <w:sz w:val="20"/>
                <w:szCs w:val="20"/>
              </w:rPr>
              <w:t xml:space="preserve">1.0</w:t>
            </w:r>
          </w:p>
        </w:tc>
      </w:tr>
      <w:tr>
        <w:tc>
          <w:tcPr>
            <w:tcW w:type="pct" w:w="35%"/>
            <w:shd w:fill="E8EEF7" w:color="auto" w:val="clear"/>
          </w:tcPr>
          <w:p>
            <w:r>
              <w:rPr>
                <w:b/>
                <w:bCs/>
                <w:sz w:val="20"/>
                <w:szCs w:val="20"/>
              </w:rPr>
              <w:t xml:space="preserve">Document Ref</w:t>
            </w:r>
          </w:p>
        </w:tc>
        <w:tc>
          <w:tcPr>
            <w:tcW w:type="pct" w:w="65%"/>
          </w:tcPr>
          <w:p>
            <w:r>
              <w:rPr>
                <w:sz w:val="20"/>
                <w:szCs w:val="20"/>
              </w:rPr>
              <w:t xml:space="preserve">PRL-POL-ABC-001</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endnotes" Target="endnotes.xml"/><Relationship Id="rId9" Type="http://schemas.openxmlformats.org/officeDocument/2006/relationships/customXml" Target="../customXml/item2.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522603134EF4AB5E5B6629B05FD15" ma:contentTypeVersion="10" ma:contentTypeDescription="Create a new document." ma:contentTypeScope="" ma:versionID="cb348fb42288480ad94f95fa8008a7e2">
  <xsd:schema xmlns:xsd="http://www.w3.org/2001/XMLSchema" xmlns:xs="http://www.w3.org/2001/XMLSchema" xmlns:p="http://schemas.microsoft.com/office/2006/metadata/properties" xmlns:ns2="5190c8ef-fd01-4a24-94cb-44d8b5351ef2" xmlns:ns3="ef80684d-26ac-4832-8cc2-4e8fa2b1f60d" targetNamespace="http://schemas.microsoft.com/office/2006/metadata/properties" ma:root="true" ma:fieldsID="c55703f665b84784e0aaad774014676b" ns2:_="" ns3:_="">
    <xsd:import namespace="5190c8ef-fd01-4a24-94cb-44d8b5351ef2"/>
    <xsd:import namespace="ef80684d-26ac-4832-8cc2-4e8fa2b1f6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0c8ef-fd01-4a24-94cb-44d8b5351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fcf2d4-3e83-46d5-91d1-d326282f85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0684d-26ac-4832-8cc2-4e8fa2b1f6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9acc11-6f3a-4001-b0b2-fc26f4e9b11c}" ma:internalName="TaxCatchAll" ma:showField="CatchAllData" ma:web="ef80684d-26ac-4832-8cc2-4e8fa2b1f6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90c8ef-fd01-4a24-94cb-44d8b5351ef2">
      <Terms xmlns="http://schemas.microsoft.com/office/infopath/2007/PartnerControls"/>
    </lcf76f155ced4ddcb4097134ff3c332f>
    <TaxCatchAll xmlns="ef80684d-26ac-4832-8cc2-4e8fa2b1f60d" xsi:nil="true"/>
  </documentManagement>
</p:properties>
</file>

<file path=customXml/itemProps1.xml><?xml version="1.0" encoding="utf-8"?>
<ds:datastoreItem xmlns:ds="http://schemas.openxmlformats.org/officeDocument/2006/customXml" ds:itemID="{E83FBC1A-DEE1-44EE-8DED-8CC9D3A1841A}"/>
</file>

<file path=customXml/itemProps2.xml><?xml version="1.0" encoding="utf-8"?>
<ds:datastoreItem xmlns:ds="http://schemas.openxmlformats.org/officeDocument/2006/customXml" ds:itemID="{3ECC4E76-5C14-4B29-9585-A1E16514B728}"/>
</file>

<file path=customXml/itemProps3.xml><?xml version="1.0" encoding="utf-8"?>
<ds:datastoreItem xmlns:ds="http://schemas.openxmlformats.org/officeDocument/2006/customXml" ds:itemID="{5EB6DE83-6C2B-4F98-A405-1D744CCD16B8}"/>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2026-05-19T12:33:41Z</dcterms:created>
  <dcterms:modified xsi:type="dcterms:W3CDTF">2026-05-19T12:33:41Z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0x010100E62522603134EF4AB5E5B6629B05FD15</vt:lpwstr>
  </property>
</Properties>
</file>